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0FC3E" w14:textId="77777777" w:rsidR="002B5192" w:rsidRDefault="002B5192" w:rsidP="002B5192">
      <w:pPr>
        <w:spacing w:line="480" w:lineRule="auto"/>
        <w:jc w:val="center"/>
        <w:rPr>
          <w:rFonts w:ascii="Times New Roman" w:hAnsi="Times New Roman" w:cs="Times New Roman"/>
          <w:bCs/>
          <w:sz w:val="24"/>
          <w:szCs w:val="24"/>
          <w:lang w:val="en-US"/>
        </w:rPr>
      </w:pPr>
    </w:p>
    <w:p w14:paraId="514F8A59" w14:textId="77777777" w:rsidR="002B5192" w:rsidRDefault="002B5192" w:rsidP="002B5192">
      <w:pPr>
        <w:spacing w:line="480" w:lineRule="auto"/>
        <w:jc w:val="center"/>
        <w:rPr>
          <w:rFonts w:ascii="Times New Roman" w:hAnsi="Times New Roman" w:cs="Times New Roman"/>
          <w:bCs/>
          <w:sz w:val="24"/>
          <w:szCs w:val="24"/>
          <w:lang w:val="en-US"/>
        </w:rPr>
      </w:pPr>
    </w:p>
    <w:p w14:paraId="5DFAC8EC" w14:textId="77777777" w:rsidR="002B5192" w:rsidRDefault="002B5192" w:rsidP="002B5192">
      <w:pPr>
        <w:spacing w:line="480" w:lineRule="auto"/>
        <w:jc w:val="center"/>
        <w:rPr>
          <w:rFonts w:ascii="Times New Roman" w:hAnsi="Times New Roman" w:cs="Times New Roman"/>
          <w:bCs/>
          <w:sz w:val="24"/>
          <w:szCs w:val="24"/>
          <w:lang w:val="en-US"/>
        </w:rPr>
      </w:pPr>
    </w:p>
    <w:p w14:paraId="4BCD1729" w14:textId="77777777" w:rsidR="002B5192" w:rsidRDefault="002B5192" w:rsidP="002B5192">
      <w:pPr>
        <w:spacing w:line="480" w:lineRule="auto"/>
        <w:jc w:val="center"/>
        <w:rPr>
          <w:rFonts w:ascii="Times New Roman" w:hAnsi="Times New Roman" w:cs="Times New Roman"/>
          <w:bCs/>
          <w:sz w:val="24"/>
          <w:szCs w:val="24"/>
          <w:lang w:val="en-US"/>
        </w:rPr>
      </w:pPr>
    </w:p>
    <w:p w14:paraId="593B592D" w14:textId="77777777" w:rsidR="002B5192" w:rsidRDefault="002B5192" w:rsidP="002B5192">
      <w:pPr>
        <w:spacing w:line="480" w:lineRule="auto"/>
        <w:jc w:val="center"/>
        <w:rPr>
          <w:rFonts w:ascii="Times New Roman" w:hAnsi="Times New Roman" w:cs="Times New Roman"/>
          <w:bCs/>
          <w:sz w:val="24"/>
          <w:szCs w:val="24"/>
          <w:lang w:val="en-US"/>
        </w:rPr>
      </w:pPr>
    </w:p>
    <w:p w14:paraId="4CF008E3" w14:textId="15FE5624" w:rsidR="0091534B" w:rsidRDefault="0091534B" w:rsidP="002B5192">
      <w:pPr>
        <w:spacing w:line="480" w:lineRule="auto"/>
        <w:jc w:val="center"/>
        <w:rPr>
          <w:rFonts w:ascii="Times New Roman" w:hAnsi="Times New Roman" w:cs="Times New Roman"/>
          <w:bCs/>
          <w:sz w:val="24"/>
          <w:szCs w:val="24"/>
          <w:lang w:val="en-US"/>
        </w:rPr>
      </w:pPr>
      <w:r w:rsidRPr="0091534B">
        <w:rPr>
          <w:rFonts w:ascii="Times New Roman" w:hAnsi="Times New Roman" w:cs="Times New Roman"/>
          <w:bCs/>
          <w:sz w:val="24"/>
          <w:szCs w:val="24"/>
          <w:lang w:val="en-US"/>
        </w:rPr>
        <w:t xml:space="preserve">Easement by Prescription </w:t>
      </w:r>
      <w:r>
        <w:rPr>
          <w:rFonts w:ascii="Times New Roman" w:hAnsi="Times New Roman" w:cs="Times New Roman"/>
          <w:bCs/>
          <w:sz w:val="24"/>
          <w:szCs w:val="24"/>
          <w:lang w:val="en-US"/>
        </w:rPr>
        <w:t>V</w:t>
      </w:r>
      <w:r w:rsidRPr="0091534B">
        <w:rPr>
          <w:rFonts w:ascii="Times New Roman" w:hAnsi="Times New Roman" w:cs="Times New Roman"/>
          <w:bCs/>
          <w:sz w:val="24"/>
          <w:szCs w:val="24"/>
          <w:lang w:val="en-US"/>
        </w:rPr>
        <w:t>ersus Adverse Possession</w:t>
      </w:r>
    </w:p>
    <w:p w14:paraId="18CB4B23" w14:textId="5E8FDA8B" w:rsidR="0091534B" w:rsidRDefault="0091534B" w:rsidP="002B519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FBFE13C" w14:textId="7C5C8A80" w:rsidR="0091534B" w:rsidRDefault="0091534B" w:rsidP="002B519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322DCA7" w14:textId="77777777" w:rsidR="002B5192" w:rsidRDefault="002B5192" w:rsidP="002B519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7DB335D" w14:textId="3B756EA7" w:rsidR="0091534B" w:rsidRDefault="0091534B" w:rsidP="002B5192">
      <w:pPr>
        <w:spacing w:line="480" w:lineRule="auto"/>
        <w:jc w:val="center"/>
        <w:rPr>
          <w:rFonts w:ascii="Times New Roman" w:hAnsi="Times New Roman" w:cs="Times New Roman"/>
          <w:bCs/>
          <w:sz w:val="24"/>
          <w:szCs w:val="24"/>
          <w:lang w:val="en-US"/>
        </w:rPr>
      </w:pPr>
      <w:r w:rsidRPr="0091534B">
        <w:rPr>
          <w:rFonts w:ascii="Times New Roman" w:hAnsi="Times New Roman" w:cs="Times New Roman"/>
          <w:bCs/>
          <w:sz w:val="24"/>
          <w:szCs w:val="24"/>
          <w:lang w:val="en-US"/>
        </w:rPr>
        <w:lastRenderedPageBreak/>
        <w:t>Easement by Prescription Versus Adverse Possession</w:t>
      </w:r>
    </w:p>
    <w:p w14:paraId="018C953E" w14:textId="77777777" w:rsidR="0091534B" w:rsidRDefault="0091534B" w:rsidP="002B5192">
      <w:pPr>
        <w:spacing w:line="480" w:lineRule="auto"/>
        <w:ind w:firstLine="720"/>
        <w:rPr>
          <w:rFonts w:ascii="Times New Roman" w:hAnsi="Times New Roman" w:cs="Times New Roman"/>
          <w:sz w:val="24"/>
          <w:szCs w:val="24"/>
          <w:lang w:val="en-US"/>
        </w:rPr>
      </w:pPr>
      <w:r w:rsidRPr="0091534B">
        <w:rPr>
          <w:rFonts w:ascii="Times New Roman" w:hAnsi="Times New Roman" w:cs="Times New Roman"/>
          <w:sz w:val="24"/>
          <w:szCs w:val="24"/>
          <w:lang w:val="en-US"/>
        </w:rPr>
        <w:t>In a real estate context, easement refers to the use of a property owned by an individual by another party, who grants the owner a certain fee in exchange for access to the property over a certain period of time (Chen, 2019). An easement by prescription legally grants an individual the right to freely use another person’s property or land without the direct authorization of the owner, since this right is granted by law for a specified period of time (Incorporated Zone, 2020). For instance, a person who has consistently used part of someone’s property to access an essential service for several years and has no other alternative in accessing the service can seek to acquire this type of easement. On the other hand, adverse possession is a concept in the law that explains a situation where an individual can acquire a valid title to land that is owned by someone else as long as certain legal requirements are met, and the non-owner possessor is in possession for a sufficient period of time, as defined by certain statutes (Cornell Law School, 2020). Therefore, easement by prescription does not grant someone a title to the property owned by someone else, but adverse possession does. Also, an easement by prescription does not require the formation of new boundaries, which have to be created in adverse possession (Rockne, 2020). Additionally, a legal claim for an easement by prescription requires proof that the use of the owner’s land by the non-owner was without the owner’s permission, which is not necessary for an adverse possession claim (Rockne, 2020).</w:t>
      </w:r>
    </w:p>
    <w:p w14:paraId="6C823EA5" w14:textId="77777777" w:rsidR="00CB1FAB" w:rsidRDefault="00CB1FAB" w:rsidP="002B519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9F71000" w14:textId="08BD9823" w:rsidR="0091534B" w:rsidRDefault="0091534B" w:rsidP="002B5192">
      <w:pPr>
        <w:spacing w:line="480" w:lineRule="auto"/>
        <w:jc w:val="center"/>
        <w:rPr>
          <w:rFonts w:ascii="Times New Roman" w:hAnsi="Times New Roman" w:cs="Times New Roman"/>
          <w:bCs/>
          <w:sz w:val="24"/>
          <w:szCs w:val="24"/>
          <w:lang w:val="en-US"/>
        </w:rPr>
      </w:pPr>
      <w:r w:rsidRPr="0091534B">
        <w:rPr>
          <w:rFonts w:ascii="Times New Roman" w:hAnsi="Times New Roman" w:cs="Times New Roman"/>
          <w:bCs/>
          <w:sz w:val="24"/>
          <w:szCs w:val="24"/>
          <w:lang w:val="en-US"/>
        </w:rPr>
        <w:lastRenderedPageBreak/>
        <w:t>References</w:t>
      </w:r>
    </w:p>
    <w:p w14:paraId="503047A2" w14:textId="77777777" w:rsidR="0091534B" w:rsidRDefault="0091534B" w:rsidP="002B5192">
      <w:pPr>
        <w:spacing w:line="480" w:lineRule="auto"/>
        <w:ind w:left="720" w:hanging="720"/>
        <w:rPr>
          <w:rFonts w:ascii="Times New Roman" w:hAnsi="Times New Roman" w:cs="Times New Roman"/>
          <w:sz w:val="24"/>
          <w:szCs w:val="24"/>
          <w:lang w:val="en-US"/>
        </w:rPr>
      </w:pPr>
      <w:r w:rsidRPr="0091534B">
        <w:rPr>
          <w:rFonts w:ascii="Times New Roman" w:hAnsi="Times New Roman" w:cs="Times New Roman"/>
          <w:sz w:val="24"/>
          <w:szCs w:val="24"/>
          <w:lang w:val="en-US"/>
        </w:rPr>
        <w:t xml:space="preserve">Chen, J. (2019). Easement. </w:t>
      </w:r>
      <w:r w:rsidRPr="0091534B">
        <w:rPr>
          <w:rFonts w:ascii="Times New Roman" w:hAnsi="Times New Roman" w:cs="Times New Roman"/>
          <w:i/>
          <w:sz w:val="24"/>
          <w:szCs w:val="24"/>
          <w:lang w:val="en-US"/>
        </w:rPr>
        <w:t>Investopedia</w:t>
      </w:r>
      <w:r w:rsidRPr="0091534B">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91534B">
          <w:rPr>
            <w:rStyle w:val="Hyperlink"/>
            <w:rFonts w:ascii="Times New Roman" w:hAnsi="Times New Roman" w:cs="Times New Roman"/>
            <w:sz w:val="24"/>
            <w:szCs w:val="24"/>
            <w:lang w:val="en-US"/>
          </w:rPr>
          <w:t>https://www.investopedia.com/terms/e/easement.asp#:~:text=An%20easement%2C%20or%20easement%20agreement,for%20the%20right%20of%20easement</w:t>
        </w:r>
      </w:hyperlink>
    </w:p>
    <w:p w14:paraId="6738E339" w14:textId="77777777" w:rsidR="0091534B" w:rsidRDefault="0091534B" w:rsidP="002B5192">
      <w:pPr>
        <w:spacing w:line="480" w:lineRule="auto"/>
        <w:ind w:left="720" w:hanging="720"/>
        <w:rPr>
          <w:rFonts w:ascii="Times New Roman" w:hAnsi="Times New Roman" w:cs="Times New Roman"/>
          <w:sz w:val="24"/>
          <w:szCs w:val="24"/>
          <w:lang w:val="en-US"/>
        </w:rPr>
      </w:pPr>
      <w:r w:rsidRPr="0091534B">
        <w:rPr>
          <w:rFonts w:ascii="Times New Roman" w:hAnsi="Times New Roman" w:cs="Times New Roman"/>
          <w:sz w:val="24"/>
          <w:szCs w:val="24"/>
          <w:lang w:val="en-US"/>
        </w:rPr>
        <w:t xml:space="preserve">Cornell Law School. (2020). Adverse Possession. </w:t>
      </w:r>
      <w:r w:rsidRPr="0091534B">
        <w:rPr>
          <w:rFonts w:ascii="Times New Roman" w:hAnsi="Times New Roman" w:cs="Times New Roman"/>
          <w:i/>
          <w:sz w:val="24"/>
          <w:szCs w:val="24"/>
          <w:lang w:val="en-US"/>
        </w:rPr>
        <w:t>Legal Information Institute</w:t>
      </w:r>
      <w:r w:rsidRPr="0091534B">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91534B">
          <w:rPr>
            <w:rStyle w:val="Hyperlink"/>
            <w:rFonts w:ascii="Times New Roman" w:hAnsi="Times New Roman" w:cs="Times New Roman"/>
            <w:sz w:val="24"/>
            <w:szCs w:val="24"/>
            <w:lang w:val="en-US"/>
          </w:rPr>
          <w:t>https://www.law.cornell.edu/wex/adverse_possession</w:t>
        </w:r>
      </w:hyperlink>
    </w:p>
    <w:p w14:paraId="0C71E597" w14:textId="00180504" w:rsidR="0091534B" w:rsidRDefault="0091534B" w:rsidP="002B5192">
      <w:pPr>
        <w:spacing w:line="480" w:lineRule="auto"/>
        <w:ind w:left="720" w:hanging="720"/>
        <w:rPr>
          <w:rFonts w:ascii="Times New Roman" w:hAnsi="Times New Roman" w:cs="Times New Roman"/>
          <w:sz w:val="24"/>
          <w:szCs w:val="24"/>
          <w:lang w:val="en-US"/>
        </w:rPr>
      </w:pPr>
      <w:r w:rsidRPr="0091534B">
        <w:rPr>
          <w:rFonts w:ascii="Times New Roman" w:hAnsi="Times New Roman" w:cs="Times New Roman"/>
          <w:sz w:val="24"/>
          <w:szCs w:val="24"/>
          <w:lang w:val="en-US"/>
        </w:rPr>
        <w:t xml:space="preserve">Incorporated Zone. (2020). Easement </w:t>
      </w:r>
      <w:r w:rsidR="00610500" w:rsidRPr="0091534B">
        <w:rPr>
          <w:rFonts w:ascii="Times New Roman" w:hAnsi="Times New Roman" w:cs="Times New Roman"/>
          <w:sz w:val="24"/>
          <w:szCs w:val="24"/>
          <w:lang w:val="en-US"/>
        </w:rPr>
        <w:t>by</w:t>
      </w:r>
      <w:r w:rsidRPr="0091534B">
        <w:rPr>
          <w:rFonts w:ascii="Times New Roman" w:hAnsi="Times New Roman" w:cs="Times New Roman"/>
          <w:sz w:val="24"/>
          <w:szCs w:val="24"/>
          <w:lang w:val="en-US"/>
        </w:rPr>
        <w:t xml:space="preserve"> </w:t>
      </w:r>
      <w:r w:rsidR="00610500">
        <w:rPr>
          <w:rFonts w:ascii="Times New Roman" w:hAnsi="Times New Roman" w:cs="Times New Roman"/>
          <w:sz w:val="24"/>
          <w:szCs w:val="24"/>
          <w:lang w:val="en-US"/>
        </w:rPr>
        <w:t>p</w:t>
      </w:r>
      <w:r w:rsidRPr="0091534B">
        <w:rPr>
          <w:rFonts w:ascii="Times New Roman" w:hAnsi="Times New Roman" w:cs="Times New Roman"/>
          <w:sz w:val="24"/>
          <w:szCs w:val="24"/>
          <w:lang w:val="en-US"/>
        </w:rPr>
        <w:t xml:space="preserve">rescription (Legal Definition </w:t>
      </w:r>
      <w:r w:rsidR="00610500" w:rsidRPr="0091534B">
        <w:rPr>
          <w:rFonts w:ascii="Times New Roman" w:hAnsi="Times New Roman" w:cs="Times New Roman"/>
          <w:sz w:val="24"/>
          <w:szCs w:val="24"/>
          <w:lang w:val="en-US"/>
        </w:rPr>
        <w:t>and</w:t>
      </w:r>
      <w:r w:rsidRPr="0091534B">
        <w:rPr>
          <w:rFonts w:ascii="Times New Roman" w:hAnsi="Times New Roman" w:cs="Times New Roman"/>
          <w:sz w:val="24"/>
          <w:szCs w:val="24"/>
          <w:lang w:val="en-US"/>
        </w:rPr>
        <w:t xml:space="preserve"> Examples). Retrieved from</w:t>
      </w:r>
      <w:r>
        <w:rPr>
          <w:rFonts w:ascii="Times New Roman" w:hAnsi="Times New Roman" w:cs="Times New Roman"/>
          <w:sz w:val="24"/>
          <w:szCs w:val="24"/>
          <w:lang w:val="en-US"/>
        </w:rPr>
        <w:t xml:space="preserve"> </w:t>
      </w:r>
      <w:hyperlink r:id="rId8" w:history="1">
        <w:r w:rsidRPr="0091534B">
          <w:rPr>
            <w:rStyle w:val="Hyperlink"/>
            <w:rFonts w:ascii="Times New Roman" w:hAnsi="Times New Roman" w:cs="Times New Roman"/>
            <w:sz w:val="24"/>
            <w:szCs w:val="24"/>
            <w:lang w:val="en-US"/>
          </w:rPr>
          <w:t>https://incorporated.zone/easement-by-prescription/</w:t>
        </w:r>
      </w:hyperlink>
    </w:p>
    <w:p w14:paraId="08818A35" w14:textId="77777777" w:rsidR="0091534B" w:rsidRPr="0091534B" w:rsidRDefault="0091534B" w:rsidP="002B5192">
      <w:pPr>
        <w:spacing w:line="480" w:lineRule="auto"/>
        <w:ind w:left="720" w:hanging="720"/>
        <w:rPr>
          <w:rFonts w:ascii="Times New Roman" w:hAnsi="Times New Roman" w:cs="Times New Roman"/>
          <w:sz w:val="24"/>
          <w:szCs w:val="24"/>
          <w:lang w:val="en-US"/>
        </w:rPr>
      </w:pPr>
      <w:r w:rsidRPr="0091534B">
        <w:rPr>
          <w:rFonts w:ascii="Times New Roman" w:hAnsi="Times New Roman" w:cs="Times New Roman"/>
          <w:sz w:val="24"/>
          <w:szCs w:val="24"/>
          <w:lang w:val="en-US"/>
        </w:rPr>
        <w:t>Rockne, J. (2020). Adverse possession v. Prescriptive easement.</w:t>
      </w:r>
      <w:r w:rsidRPr="0091534B">
        <w:rPr>
          <w:rFonts w:ascii="Times New Roman" w:hAnsi="Times New Roman" w:cs="Times New Roman"/>
          <w:i/>
          <w:sz w:val="24"/>
          <w:szCs w:val="24"/>
          <w:lang w:val="en-US"/>
        </w:rPr>
        <w:t xml:space="preserve"> Law Office of Joseph Rockne</w:t>
      </w:r>
      <w:r w:rsidRPr="0091534B">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history="1">
        <w:r w:rsidRPr="00604608">
          <w:rPr>
            <w:rStyle w:val="Hyperlink"/>
            <w:rFonts w:ascii="Times New Roman" w:hAnsi="Times New Roman" w:cs="Times New Roman"/>
            <w:sz w:val="24"/>
            <w:szCs w:val="24"/>
            <w:lang w:val="en-US"/>
          </w:rPr>
          <w:t>https://www.rocknelaw.com/adverse-possession-v-prescriptive-easement</w:t>
        </w:r>
      </w:hyperlink>
    </w:p>
    <w:sectPr w:rsidR="0091534B" w:rsidRPr="0091534B" w:rsidSect="0091534B">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3AEA7" w14:textId="77777777" w:rsidR="005E4E26" w:rsidRDefault="005E4E26" w:rsidP="0091534B">
      <w:pPr>
        <w:spacing w:after="0" w:line="240" w:lineRule="auto"/>
      </w:pPr>
      <w:r>
        <w:separator/>
      </w:r>
    </w:p>
  </w:endnote>
  <w:endnote w:type="continuationSeparator" w:id="0">
    <w:p w14:paraId="5E4E12CE" w14:textId="77777777" w:rsidR="005E4E26" w:rsidRDefault="005E4E26" w:rsidP="00915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DAA5F" w14:textId="77777777" w:rsidR="005E4E26" w:rsidRDefault="005E4E26" w:rsidP="0091534B">
      <w:pPr>
        <w:spacing w:after="0" w:line="240" w:lineRule="auto"/>
      </w:pPr>
      <w:r>
        <w:separator/>
      </w:r>
    </w:p>
  </w:footnote>
  <w:footnote w:type="continuationSeparator" w:id="0">
    <w:p w14:paraId="52BFD4DA" w14:textId="77777777" w:rsidR="005E4E26" w:rsidRDefault="005E4E26" w:rsidP="00915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03054752"/>
      <w:docPartObj>
        <w:docPartGallery w:val="Page Numbers (Top of Page)"/>
        <w:docPartUnique/>
      </w:docPartObj>
    </w:sdtPr>
    <w:sdtEndPr>
      <w:rPr>
        <w:noProof/>
      </w:rPr>
    </w:sdtEndPr>
    <w:sdtContent>
      <w:p w14:paraId="611CDECC" w14:textId="318094BB" w:rsidR="0091534B" w:rsidRPr="0091534B" w:rsidRDefault="0091534B" w:rsidP="0091534B">
        <w:pPr>
          <w:pStyle w:val="Header"/>
          <w:jc w:val="right"/>
          <w:rPr>
            <w:rFonts w:ascii="Times New Roman" w:hAnsi="Times New Roman" w:cs="Times New Roman"/>
          </w:rPr>
        </w:pPr>
        <w:r w:rsidRPr="0091534B">
          <w:rPr>
            <w:rFonts w:ascii="Times New Roman" w:hAnsi="Times New Roman" w:cs="Times New Roman"/>
            <w:bCs/>
            <w:lang w:val="en-US"/>
          </w:rPr>
          <w:t>EASEMENT BY PRESCRIPTION VERSUS ADVERSE POSSESSION</w:t>
        </w:r>
        <w:r>
          <w:rPr>
            <w:rFonts w:ascii="Times New Roman" w:hAnsi="Times New Roman" w:cs="Times New Roman"/>
          </w:rPr>
          <w:tab/>
        </w:r>
        <w:r w:rsidRPr="0091534B">
          <w:rPr>
            <w:rFonts w:ascii="Times New Roman" w:hAnsi="Times New Roman" w:cs="Times New Roman"/>
          </w:rPr>
          <w:fldChar w:fldCharType="begin"/>
        </w:r>
        <w:r w:rsidRPr="0091534B">
          <w:rPr>
            <w:rFonts w:ascii="Times New Roman" w:hAnsi="Times New Roman" w:cs="Times New Roman"/>
          </w:rPr>
          <w:instrText xml:space="preserve"> PAGE   \* MERGEFORMAT </w:instrText>
        </w:r>
        <w:r w:rsidRPr="0091534B">
          <w:rPr>
            <w:rFonts w:ascii="Times New Roman" w:hAnsi="Times New Roman" w:cs="Times New Roman"/>
          </w:rPr>
          <w:fldChar w:fldCharType="separate"/>
        </w:r>
        <w:r w:rsidRPr="0091534B">
          <w:rPr>
            <w:rFonts w:ascii="Times New Roman" w:hAnsi="Times New Roman" w:cs="Times New Roman"/>
            <w:noProof/>
          </w:rPr>
          <w:t>2</w:t>
        </w:r>
        <w:r w:rsidRPr="0091534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61046252"/>
      <w:docPartObj>
        <w:docPartGallery w:val="Page Numbers (Top of Page)"/>
        <w:docPartUnique/>
      </w:docPartObj>
    </w:sdtPr>
    <w:sdtEndPr>
      <w:rPr>
        <w:noProof/>
      </w:rPr>
    </w:sdtEndPr>
    <w:sdtContent>
      <w:p w14:paraId="307FCC7D" w14:textId="18BEEAB1" w:rsidR="0091534B" w:rsidRPr="0091534B" w:rsidRDefault="0091534B" w:rsidP="0091534B">
        <w:pPr>
          <w:pStyle w:val="Header"/>
          <w:jc w:val="right"/>
          <w:rPr>
            <w:rFonts w:ascii="Times New Roman" w:hAnsi="Times New Roman" w:cs="Times New Roman"/>
          </w:rPr>
        </w:pPr>
        <w:r>
          <w:rPr>
            <w:rFonts w:ascii="Times New Roman" w:hAnsi="Times New Roman" w:cs="Times New Roman"/>
            <w:lang w:val="en-US"/>
          </w:rPr>
          <w:t xml:space="preserve">Running head: </w:t>
        </w:r>
        <w:r w:rsidRPr="0091534B">
          <w:rPr>
            <w:rFonts w:ascii="Times New Roman" w:hAnsi="Times New Roman" w:cs="Times New Roman"/>
            <w:bCs/>
            <w:lang w:val="en-US"/>
          </w:rPr>
          <w:t>EASEMENT BY PRESCRIPTION VERSUS ADVERSE POSSESSION</w:t>
        </w:r>
        <w:r>
          <w:rPr>
            <w:rFonts w:ascii="Times New Roman" w:hAnsi="Times New Roman" w:cs="Times New Roman"/>
          </w:rPr>
          <w:tab/>
        </w:r>
        <w:r w:rsidRPr="0091534B">
          <w:rPr>
            <w:rFonts w:ascii="Times New Roman" w:hAnsi="Times New Roman" w:cs="Times New Roman"/>
          </w:rPr>
          <w:fldChar w:fldCharType="begin"/>
        </w:r>
        <w:r w:rsidRPr="0091534B">
          <w:rPr>
            <w:rFonts w:ascii="Times New Roman" w:hAnsi="Times New Roman" w:cs="Times New Roman"/>
          </w:rPr>
          <w:instrText xml:space="preserve"> PAGE   \* MERGEFORMAT </w:instrText>
        </w:r>
        <w:r w:rsidRPr="0091534B">
          <w:rPr>
            <w:rFonts w:ascii="Times New Roman" w:hAnsi="Times New Roman" w:cs="Times New Roman"/>
          </w:rPr>
          <w:fldChar w:fldCharType="separate"/>
        </w:r>
        <w:r w:rsidRPr="0091534B">
          <w:rPr>
            <w:rFonts w:ascii="Times New Roman" w:hAnsi="Times New Roman" w:cs="Times New Roman"/>
            <w:noProof/>
          </w:rPr>
          <w:t>2</w:t>
        </w:r>
        <w:r w:rsidRPr="0091534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4B"/>
    <w:rsid w:val="002B5192"/>
    <w:rsid w:val="005E4E26"/>
    <w:rsid w:val="00610500"/>
    <w:rsid w:val="0091534B"/>
    <w:rsid w:val="00C77C11"/>
    <w:rsid w:val="00CB1FA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E9282"/>
  <w15:chartTrackingRefBased/>
  <w15:docId w15:val="{507B5D6C-087B-4440-8FA6-482542B8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34B"/>
    <w:rPr>
      <w:color w:val="0563C1" w:themeColor="hyperlink"/>
      <w:u w:val="single"/>
    </w:rPr>
  </w:style>
  <w:style w:type="character" w:styleId="UnresolvedMention">
    <w:name w:val="Unresolved Mention"/>
    <w:basedOn w:val="DefaultParagraphFont"/>
    <w:uiPriority w:val="99"/>
    <w:semiHidden/>
    <w:unhideWhenUsed/>
    <w:rsid w:val="0091534B"/>
    <w:rPr>
      <w:color w:val="605E5C"/>
      <w:shd w:val="clear" w:color="auto" w:fill="E1DFDD"/>
    </w:rPr>
  </w:style>
  <w:style w:type="paragraph" w:styleId="Header">
    <w:name w:val="header"/>
    <w:basedOn w:val="Normal"/>
    <w:link w:val="HeaderChar"/>
    <w:uiPriority w:val="99"/>
    <w:unhideWhenUsed/>
    <w:rsid w:val="00915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34B"/>
  </w:style>
  <w:style w:type="paragraph" w:styleId="Footer">
    <w:name w:val="footer"/>
    <w:basedOn w:val="Normal"/>
    <w:link w:val="FooterChar"/>
    <w:uiPriority w:val="99"/>
    <w:unhideWhenUsed/>
    <w:rsid w:val="00915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corporated.zone/easement-by-prescrip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aw.cornell.edu/wex/adverse_possess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e/easement.asp#:~:text=An%20easement%2C%20or%20easement%20agreement,for%20the%20right%20of%20easemen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ocknelaw.com/adverse-possession-v-prescriptive-eas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2021-01-16T10:39:00Z</dcterms:created>
  <dcterms:modified xsi:type="dcterms:W3CDTF">2021-01-16T10:43:00Z</dcterms:modified>
</cp:coreProperties>
</file>